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75709B" w:rsidRPr="0075709B" w:rsidTr="0075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OS TRÊS PATETAS</w:t>
            </w:r>
          </w:p>
        </w:tc>
        <w:tc>
          <w:tcPr>
            <w:tcW w:w="200" w:type="pct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75709B" w:rsidRPr="0075709B" w:rsidTr="0075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75709B" w:rsidRPr="0075709B" w:rsidTr="0075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OS TRÊS PATETAS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val="pt-BR" w:eastAsia="pt-BR"/>
              </w:rPr>
              <w:t>HEITOR DE PAOLA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07/12/2007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 xml:space="preserve">"O demagogo é aquele que prega doutrinas que </w:t>
            </w:r>
            <w:proofErr w:type="gram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sabe falsas</w:t>
            </w:r>
            <w:proofErr w:type="gram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 xml:space="preserve"> a homens que sabe idiotas”.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H. L. MENCKEN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Há onze anos dois livros abalaram o pouco que ainda restava da intelectualidade brasileira que, em sua grande maioria se não estava totalmente idiotizada pelo marxismo, sucumbira às teses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social-democratas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“anti-imperialistas”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uspianas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cepalinas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O primeiro, “O Imbecil Coletivo: atualidades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inculturais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brasileiras”, de Olavo de Carvalho, fazia uma arrasadora e definitiva crítica dos intelectuais, artistas, pessoal do show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bussiness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do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beautiful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people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tupiniquim. Encerrava uma trilogia iniciada pelos menos conhecidos e filosoficamente mais profundos “A Nova Era e a Revolução Cultural” (de 1994) e prosseguida com “O Jardim das Aflições” (de 1995). Nesta série, pela primeira vez pelas mãos de um liberal-conservador vinha à luz um personagem macabro, Antonio Gramsci, e sua obra nefasta era dissecada aos mínimos detalhes.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No mesmo ano, mas só publicado no Brasil um ano depois, surgia o “Manual do perfeito idiota latino-americano”, de Plínio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Apuleyo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Mendoza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Carlos Alberto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Álvaro Vargas Llosa. Segundo o prefaciador, Roberto Campos, “o Manual é uma devastadora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catilinária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contra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 mitologia latino-americana dos nacional-populistas e esquerdistas”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(...) esses “contumazes idólatras do fracasso que recusam-se a admitir que as riquezas são criadas pela diligência dos indivíduos e não pela clarividência do Estado”. Foi realmente um bálsamo que surgira para arejar a pesada nuvem negra que dominava os debates, 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sempre carrancudos e rancorosos, quando não truculentos, dos principais temas nacionais e latino-americanos.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Pois dez anos depois, infelizmente, os denunciadores (*) de idiotas se apatetaram e cometeram um novo livro, “A Volta do Idiota” (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Odisséia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2007). Diferentemente do primeiro,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neste eles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falam de uma América Latina formada por suas próprias teorias e que pouco tem com a realidade do Continente. Uma América Latina onde o Foro de São Paulo não contou com a participação dos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fundadores Lula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PT, com um Hugo Chávez surgido do nada, onde o principal país do continente só é comentado superficialmente, onde só existem “populismos”, “caudilhismos” e não se fala de comunismo exceto algumas vezes em relação a Cuba, e sem luta armada nem “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Teodemonologia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da Libertação”. A mais extravagante das teses é a da existência de duas esquerdas: a carnívora e a vegetariana.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* * *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Em primeiro lugar, não deixando claro se concordam ou não que “o chamado socialismo real acabou na Europa quando o Muro de Berlim foi derrubado”, acrescentam que, para o idiota “agora existe, do outro lado do Atlântico um novo (sonho), mais promissor, o socialismo do século XXI” que “ninguém, nem mesmo Chávez, conseguiu explicar no que consiste...”.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Ora, é indesculpável que os autores, que se pretendem analistas políticos do primeiro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rank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jamais tenham ouvido falar das atas de fundação do Foro de São Paulo, instituição só citada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passant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como se tivesse importância secundária ou terciária, onde Fidel e Lula deixam claro o objetivo da organização: “recuperar na América Latina o que foi perdido da Europa do Leste”. E que jamais tenham lido os artigos de Marco Aurélio Garcia, o verdadeiro artífice do Foro, sobre a “refundação do comunismo”! Se o fizessem saberiam: é isto o “socialismo do século XXI” - comunismo puro e simples! Ainda falando nisto, é impressionante o esforço dos autores para evitar esta palavra tabu, quase sempre substituída por “populismo” ou “esquerdismo”, no máximo “socialismo”! Em “Temas do passado” eles afirmam que a luta armada só “subsiste na Colômbia, como uma representação anacrônica e sangrenta dos delírios revolucionários dos anos 1960”, negando a ação destruidora da Via Campesina, do MST, da Revolução Quilombola, do Movimento dos Atingidos por Barragens, e 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outros.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Quer dizer, do Brasil silêncio absoluto! Também a “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Teodemonologia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” da Libertação é dada como decadente, negando a enorme influência de “frei” (uma ova!)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Betto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Pedro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Casaldáliga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Boff e da CNBB abjetamente prostrada aos pés de Che Guevara deixando Jesus Cristo ao abandono. Há poucos dias, logo após os ataques vitriólicos de Chávez à Igreja Católica venezuelana, um grupo de jovens católicos tentou rezar uma Missa no Rio de Janeiro e pedir à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Assembléia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Legislativa que revogasse a cidadania concedida a ele e não encontrou um único padre para rezá-la!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Também não se ouviu um pio da comunidade judaica brasileira pela grotesca invasão do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Colegio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y Centro Social, Cultural y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Deportivo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Hebraica de Caracas na calada da noite do referendum. Além das outras críticas pertinentes, inclusive à edição sofrível do livro, sem referências bibliográficas – culpa dos autores que devem se achar acima de quaisquer suspeitas - nem índice remissivo, o que uma boa editora teria providenciado (a desculpa de papai Llosa no prólogo de que se trata de um folhetim é indesculpável, já que trata de assuntos da maior relevância para o futuro de nosso continente que não deveria ser tratado folhetinescamente, mas com seriedade científica), passo imediatamente ao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crème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crème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: a existência de duas esquerdas.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* * *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esquerda “carnívora”, alvo da maior parte do livro está representada por Chávez e Morales e são sérios candidatos Correa, Lopez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Obrador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Humala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Daniel Ortega. Kirchner é muito bem qualificado como “peronista estrábico” e, enquanto peronista, ninguém sabe para onde ele irá. Deve-se notar que os capítulos reservados a esta esquerda parecem estar de acordo com a realidade, mas é aí mesmo, ao descrever o “terceiro ato” do regime “populista” (?) cubano que começa o engodo.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Dizem os autores que nos anos 90 começa a agonia do regime, mas sequer fazem a menor referência que precisamente aí foi fundado o Foro de São Paulo como um sucessor da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antiga OLAS (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Organización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Latino Americana de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Solidaridad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)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para salvar o 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comunismo.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Subitamente, como se fosse de geração espontânea, “nisso surgiu Hugo Chávez”, em 1998! Pronto, por milagre estava salvo Fidel. A intensa articulação levada a efeito por Lula, Marco Aurélio, José Dirceu, as FARC, e todos os movimentos comunistas latino-americanos são substituídos por um espantoso parto virginal! Se não conseguem ter acesso à extensa publicação sobre o Foro entre nós, é impossível que não tenham tomado conhecimento dos escritos do Dr.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Constantine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Menges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do Hudson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Institute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.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esquerda “vegetativa” incluiria Lula,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Bachelet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Tabaré Vasquez. Iniciando pelo Chile dizem que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“...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 idiotice tem cura, cedo ou tarde, como o demonstraram os socialistas chilenos”. Citam que a nova esquerda chilena aderiu ao controle dos gastos públicos, à redução do Estado, à segurança jurídica, ao clima hospitaleiro para os investimentos estrangeiros, serviços competitivos de saúde e gestão privada dos fundos de pensão.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Aqui não tenho dúvida: mentem!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Mentem descaradamente ao descrever o programa econômico do governo Pinochet, só citado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como um ditador bárbaro, e atribuir esta racionalidade econômica aos “socialistas chilenos”. O que ocorreu no Chile é que a chamada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concertación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entre socialistas e democratas cristãos, que substituiu Pinochet, não pôde mudar nada criado pelos </w:t>
            </w:r>
            <w:proofErr w:type="spellStart"/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chicago</w:t>
            </w:r>
            <w:proofErr w:type="spellEnd"/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boys pois a imensa maioria dos eleitores os rejeitaria! Até mesmo chilenos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anti-pinochetistas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com a exceção óbvia dos comunistas e do MIR, não querem nem ouvir falar de acabar com a estabilidade econômica conseguida a ferro e fogo na década de 70.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Simultaneamente, ao maximizar o papel de Chávez e fazer de tudo para ocultar o de Lula, tentam desviar a atenção dos leitores do verdadeiro centro da subversão comunista na América Latina: Brasília e não Caracas. Palácio do Planalto, e não o de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Miraflores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. Têm a audácia de dizer que “na hora de estabelecer alianças internacionais, a esquerda vegetariana se considera obrigada a apoiar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carnívora, </w:t>
            </w:r>
            <w:r w:rsidRPr="007570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embora dentro de cada país não siga seus passos em nada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” (negrito meu).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Será que os brilhantes autores jamais ouviram falar da velha e gasta, porém ainda eficientíssima estratégia das tesouras desde sempre a preferida pelos comunistas? Será que nunca leram a frase de Lula “enquanto o Chávez vai numa Ferrari a 200 por hora, eu vou num fusquinha a 60, mas chegaremos ao mesmo 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lugar?” Ou a de Chávez, do mesmo teor, apaziguando o pessoal do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Forum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Social Mundial que vaiara Lula? Podem alegar desconhecimento, mas então que não se metam a escrever livros supostamente sérios, de que enquanto Chávez e Morales seguem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Lenin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Lula aplica pacientemente o programa original de Marx: atingir o comunismo via tributação progressiva crescente, e o comunismo nunca deixou de ser marxismo-leninismo aplicado em doses proporcionais adequadas à época e ao local.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Em 1917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Lenin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trocou o fusquinha herdado de Marx por uma Ferrari, esta a única diferença. Tal como o Chile, o Brasil teve um governo competente e sério de militares, que se mostrou até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1974 progressista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até certo ponto – menos aqui do que lá – liberalizante da economia. O enorme crescimento da economia brasileira entre 1964 e 1974 – o “milagre brasileiro” -, lamentavelmente engessado pela estatização de Geisel, legou-nos um parque industrial que não admitiria mais do que o fusquinha. A Ferrari já tem dono: os empresários inescrupulosos que adoram usar a mão de obra quase escrava dos regimes comunistas.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Já a história da Venezuela e da Bolívia é uma sucessão de ditaduras fajutas entremeadas de democracias altamente corruptas e exploradoras. O esforço para a ocultação de Lula (“vegetariano na ordem interna, Lula se apresenta no exterior como um amigo de Castro e Chávez”) vai a ponto de num recente artigo de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(“</w:t>
            </w:r>
            <w:hyperlink r:id="rId4" w:tgtFrame="_blank" w:history="1">
              <w:r w:rsidRPr="0075709B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Lula, o senhor de escravos</w:t>
              </w:r>
            </w:hyperlink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”, 12/08/07), ao comentar a entrega de Lula a Fidel (num avião venezuelano, </w:t>
            </w:r>
            <w:r w:rsidRPr="007570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o que não é dito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) dos atletas cubanos que queriam asilo, ser dito que “o próprio Fidel Castro, que é o proprietário destes rapazes, se comunicou com Lula da Silva e exigiu que ele colaborasse com a imediata devolução da mercadoria. Lula, que entende a lógica dos senhores de escravos, se compadeceu do velho e enfermo ditador. (...) Os negros eram seus. Esta triste história revela exatamente a natureza do regime cubano”. (Atenção historiadores e cientistas políticos: Cuba é um regime igual ao que imperou nos EUA até a Guerra Civil e no Brasil até 1888, não é comunista, não, isto é só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paranóia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da guerra fria!). E prossegue: “O difícil de entender é a vil colaboração do presidente Lula da Silva com esta infâmia moral. Não se presume que estamos diante do primeiro presidente latino-americano que provém da classe operária, o primeiro que poderia entender melhor que ninguém a tragédia dos oprimidos? Pensaria que a liberdade destes dois pobres boxeadores negros não tem a menor importância? Pode ser. Assim pensavam os senhores de escravos". E isto da lavra de um cubano que apoiou inicialmente Castro e depois se asilou na 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Espanha.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* * *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Já existiam indícios,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há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muito tempo, de que ao menos dois dos três autores (pouco me atualizei sobre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Apuleyo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) haviam mudado de opinião. Vargas Llosa, o pai que prefacia o livro, e o filho, estão muito mais para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social-democratas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do que para o liberalismo que era sua marca registrada. O mesmo vem ocorrendo com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 Eu já conhecia algo disto desde maio de 2005 quando, numa Mesa Redonda sobre </w:t>
            </w: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A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Freedom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Agenda for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the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Americas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do </w:t>
            </w: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Atlas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Liberty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Forum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em Miami, após defender a agenda baseada numa esquerda, então chamada moderada, para fazer frente à outra esquerda, então chamada radical, saiu-se com esta pérola: </w:t>
            </w: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Yo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creo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que José Dirceu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hizo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cambio ideológico”.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 Tendo eu e outros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brasileiros atônitos abordado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privadamente após a reunião, caiu a máscara da empáfia e o peremptório “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creo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” transmutou-se num simples </w:t>
            </w: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“a mi, por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lo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menos, me parece que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sea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”,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saindo de fininho logo depois.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Coordenara a reunião Stephen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Jonhson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ex-funcionário do Departamento de Estado e atual Analista Político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Senior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para a América Latina do Instituto de Estudos Internacionais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Kathryn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and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Shelby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Cullom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Davis, da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Heritage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Foundation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 Pois esta visão da América Latina é de sua autoria e fez parte do projeto para sua aceitação como Analista Político. Numa reunião anterior por ele presidida sobre 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Think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Tanks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and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Security</w:t>
            </w:r>
            <w:proofErr w:type="spellEnd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Policy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 impressionou-me o discurso do </w:t>
            </w:r>
            <w:proofErr w:type="spellStart"/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ex-Secretário</w:t>
            </w:r>
            <w:proofErr w:type="spellEnd"/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de Estado Adjunto para a América Latina, Otto Reich, pela total ausência de qualquer menção ao Brasil. Por sua vez, o Almirante (da Reserva) venezuelano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Carratu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Molina não incluíra o MST nem nenhuma outra organização brasileira numa extensa lista de grupos terroristas e guerrilheiros. Exatamente como no livro atual, parecia que o Brasil não existia e era tabu falar do país de Lula e do PT.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Teriam os antigos autores outrora espontâneos e sinceros que com simplicidade denunciavam os idiotas, se deixado seduzir e apatetar pelas 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glórias – e pelos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grants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– acadêmicos das organizações liberais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conservadoras americanas?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Saída dos fornos da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Heritage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Foundation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entidade de grande </w:t>
            </w: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valor, este modelo de entendimento - deve ser defendido com unhas e dentes -, é constituído de dois pontos principais: 1) Existem duas esquerdas na América Latina 2) A estratégia do Departamento de Estado e da Casa Branca para a região deve ser a de usar a esquerda “vegetativa” para contrabalançar e moderar a “carnívora”. Requentada pelo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Council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Foreign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Relations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a Trilateral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Commission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Inter-American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Dialogue é esta estratégia que leva Bush a conceder tratamento preferencial a Lula e à reação da Casa Branca após o referendum na Venezuela: </w:t>
            </w: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o país não é ainda uma democracia confiável como o Brasil.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Teriam se transformado naquilo que diz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Mencken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na epígrafe deste artigo (</w:t>
            </w:r>
            <w:proofErr w:type="gram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aliás</w:t>
            </w:r>
            <w:proofErr w:type="gram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retirado do próprio livro): seriam os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desinformadores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e agora os idiotas são os liberais latino-americanos? Seria uma lástima! As esquerdas, que quase estrebucharam de raiva há 10 anos, devem estar exultantes agora. Os promissores jovens intelectuais da última década sucumbiram ao que antes denunciavam: construíram um modelo acadêmico e tentam forçar a realidade a se conformar com o mesmo. Exatamente o fundo de sua crítica anterior às esquerdas. Seja como for, o livro não passa de uma perigosa peça de desinformação.</w:t>
            </w:r>
          </w:p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5709B" w:rsidRPr="0075709B" w:rsidRDefault="0075709B" w:rsidP="0075709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(*) Este artigo foi escrito antes de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Plinio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Apuleyo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Mendoza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ter reconhecido que estava errado, quando do lançamento do livro de Alejandro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Peña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Esclusa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sobre o </w:t>
            </w:r>
            <w:proofErr w:type="spellStart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</w:t>
            </w:r>
            <w:proofErr w:type="spellEnd"/>
            <w:r w:rsidRPr="007570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Foro de São Paulo contra Álvaro Uribe. Fica feita a notificação e meus aplausos a ele.</w:t>
            </w:r>
          </w:p>
        </w:tc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75709B" w:rsidRPr="0075709B" w:rsidTr="0075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75709B" w:rsidRPr="0075709B" w:rsidTr="0075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 xml:space="preserve">Heitor De Paola, MSM, em 07 de dezembro de </w:t>
            </w:r>
            <w:proofErr w:type="gramStart"/>
            <w:r w:rsidRPr="0075709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2007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09B" w:rsidRPr="0075709B" w:rsidRDefault="0075709B" w:rsidP="007570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75709B" w:rsidRDefault="005435FF">
      <w:pPr>
        <w:rPr>
          <w:lang w:val="pt-BR"/>
        </w:rPr>
      </w:pPr>
    </w:p>
    <w:sectPr w:rsidR="005435FF" w:rsidRPr="0075709B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09B"/>
    <w:rsid w:val="00052982"/>
    <w:rsid w:val="00190865"/>
    <w:rsid w:val="00430C80"/>
    <w:rsid w:val="005435FF"/>
    <w:rsid w:val="0075709B"/>
    <w:rsid w:val="007B3245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5709B"/>
    <w:rPr>
      <w:b/>
      <w:bCs/>
    </w:rPr>
  </w:style>
  <w:style w:type="paragraph" w:styleId="NormalWeb">
    <w:name w:val="Normal (Web)"/>
    <w:basedOn w:val="Normal"/>
    <w:uiPriority w:val="99"/>
    <w:unhideWhenUsed/>
    <w:rsid w:val="007570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75709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57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maspress.com/80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12295</Characters>
  <Application>Microsoft Office Word</Application>
  <DocSecurity>0</DocSecurity>
  <Lines>102</Lines>
  <Paragraphs>29</Paragraphs>
  <ScaleCrop>false</ScaleCrop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2018-05-16T14:22:00Z</dcterms:created>
  <dcterms:modified xsi:type="dcterms:W3CDTF">2018-05-16T14:22:00Z</dcterms:modified>
</cp:coreProperties>
</file>